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8214C">
      <w:pPr>
        <w:keepNext w:val="0"/>
        <w:keepLines w:val="0"/>
        <w:widowControl/>
        <w:suppressLineNumbers w:val="0"/>
        <w:jc w:val="left"/>
        <w:rPr>
          <w:rFonts w:hint="eastAsia" w:ascii="Times New Roman" w:hAnsi="Times New Roman" w:eastAsia="方正黑体_GBK" w:cs="Times New Roman"/>
          <w:b w:val="0"/>
          <w:bCs/>
          <w:kern w:val="44"/>
          <w:sz w:val="36"/>
          <w:szCs w:val="36"/>
          <w:lang w:val="en-US" w:eastAsia="zh-CN"/>
        </w:rPr>
      </w:pPr>
      <w:r>
        <w:rPr>
          <w:rFonts w:hint="eastAsia" w:ascii="Times New Roman" w:hAnsi="Times New Roman" w:eastAsia="方正黑体_GBK" w:cs="Times New Roman"/>
          <w:b w:val="0"/>
          <w:bCs/>
          <w:kern w:val="44"/>
          <w:sz w:val="36"/>
          <w:szCs w:val="36"/>
          <w:lang w:val="en-US" w:eastAsia="zh-CN"/>
        </w:rPr>
        <w:t>附件：晋级决赛名单</w:t>
      </w:r>
      <w:r>
        <w:rPr>
          <w:rStyle w:val="6"/>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（Attachment: Finalists）</w:t>
      </w:r>
    </w:p>
    <w:p w14:paraId="71BFB0C6">
      <w:pPr>
        <w:keepNext w:val="0"/>
        <w:keepLines w:val="0"/>
        <w:widowControl/>
        <w:suppressLineNumbers w:val="0"/>
        <w:jc w:val="center"/>
        <w:rPr>
          <w:rFonts w:hint="eastAsia" w:ascii="Times New Roman" w:hAnsi="Times New Roman" w:eastAsia="方正黑体_GBK" w:cs="Times New Roman"/>
          <w:b w:val="0"/>
          <w:bCs/>
          <w:kern w:val="44"/>
          <w:sz w:val="36"/>
          <w:szCs w:val="36"/>
          <w:lang w:val="en-US" w:eastAsia="zh-CN" w:bidi="ar"/>
        </w:rPr>
      </w:pPr>
      <w:r>
        <w:rPr>
          <w:rFonts w:hint="eastAsia" w:ascii="Times New Roman" w:hAnsi="Times New Roman" w:eastAsia="方正黑体_GBK" w:cs="Times New Roman"/>
          <w:b w:val="0"/>
          <w:bCs/>
          <w:kern w:val="44"/>
          <w:sz w:val="36"/>
          <w:szCs w:val="36"/>
          <w:lang w:val="en-US" w:eastAsia="zh-CN" w:bidi="ar"/>
        </w:rPr>
        <w:t>团队组晋级决赛名单</w:t>
      </w:r>
    </w:p>
    <w:p w14:paraId="0CEBA9C1">
      <w:pPr>
        <w:keepNext w:val="0"/>
        <w:keepLines w:val="0"/>
        <w:widowControl/>
        <w:suppressLineNumbers w:val="0"/>
        <w:jc w:val="center"/>
        <w:rPr>
          <w:rFonts w:hint="eastAsia" w:ascii="Times New Roman" w:hAnsi="Times New Roman" w:eastAsia="方正黑体_GBK" w:cs="Times New Roman"/>
          <w:b w:val="0"/>
          <w:bCs/>
          <w:kern w:val="44"/>
          <w:sz w:val="36"/>
          <w:szCs w:val="36"/>
          <w:lang w:val="en-US" w:eastAsia="zh-CN"/>
        </w:rPr>
      </w:pPr>
      <w:r>
        <w:rPr>
          <w:rStyle w:val="6"/>
          <w:rFonts w:ascii="Helvetica Neue" w:hAnsi="Helvetica Neue" w:eastAsia="Helvetica Neue" w:cs="Helvetica Neue"/>
          <w:b/>
          <w:bCs/>
          <w:i w:val="0"/>
          <w:iCs w:val="0"/>
          <w:caps w:val="0"/>
          <w:color w:val="0F1115"/>
          <w:spacing w:val="0"/>
          <w:kern w:val="0"/>
          <w:sz w:val="32"/>
          <w:szCs w:val="32"/>
          <w:shd w:val="clear" w:fill="FFFFFF"/>
          <w:lang w:val="en-US" w:eastAsia="zh-CN" w:bidi="ar"/>
        </w:rPr>
        <w:t>(</w:t>
      </w:r>
      <w:r>
        <w:rPr>
          <w:rStyle w:val="6"/>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Team</w:t>
      </w:r>
      <w:r>
        <w:rPr>
          <w:rStyle w:val="6"/>
          <w:rFonts w:ascii="Helvetica Neue" w:hAnsi="Helvetica Neue" w:eastAsia="Helvetica Neue" w:cs="Helvetica Neue"/>
          <w:b/>
          <w:bCs/>
          <w:i w:val="0"/>
          <w:iCs w:val="0"/>
          <w:caps w:val="0"/>
          <w:color w:val="0F1115"/>
          <w:spacing w:val="0"/>
          <w:kern w:val="0"/>
          <w:sz w:val="32"/>
          <w:szCs w:val="32"/>
          <w:shd w:val="clear" w:fill="FFFFFF"/>
          <w:lang w:val="en-US" w:eastAsia="zh-CN" w:bidi="ar"/>
        </w:rPr>
        <w:t xml:space="preserve"> Group: </w:t>
      </w:r>
      <w:r>
        <w:rPr>
          <w:rStyle w:val="6"/>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 xml:space="preserve">Finalists </w:t>
      </w:r>
      <w:r>
        <w:rPr>
          <w:rStyle w:val="6"/>
          <w:rFonts w:ascii="Helvetica Neue" w:hAnsi="Helvetica Neue" w:eastAsia="Helvetica Neue" w:cs="Helvetica Neue"/>
          <w:b/>
          <w:bCs/>
          <w:i w:val="0"/>
          <w:iCs w:val="0"/>
          <w:caps w:val="0"/>
          <w:color w:val="0F1115"/>
          <w:spacing w:val="0"/>
          <w:kern w:val="0"/>
          <w:sz w:val="32"/>
          <w:szCs w:val="32"/>
          <w:shd w:val="clear" w:fill="FFFFFF"/>
          <w:lang w:val="en-US" w:eastAsia="zh-CN" w:bidi="ar"/>
        </w:rPr>
        <w:t>)</w:t>
      </w:r>
    </w:p>
    <w:tbl>
      <w:tblPr>
        <w:tblStyle w:val="4"/>
        <w:tblpPr w:leftFromText="180" w:rightFromText="180" w:vertAnchor="text" w:tblpXSpec="center" w:tblpY="1"/>
        <w:tblOverlap w:val="never"/>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5"/>
        <w:gridCol w:w="13000"/>
      </w:tblGrid>
      <w:tr w14:paraId="6425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5" w:type="dxa"/>
            <w:vAlign w:val="center"/>
          </w:tcPr>
          <w:p w14:paraId="27D4C600">
            <w:pPr>
              <w:keepNext w:val="0"/>
              <w:keepLines w:val="0"/>
              <w:widowControl/>
              <w:suppressLineNumbers w:val="0"/>
              <w:jc w:val="center"/>
              <w:textAlignment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宋体" w:hAnsi="宋体" w:eastAsia="宋体" w:cs="宋体"/>
                <w:b/>
                <w:bCs/>
                <w:i w:val="0"/>
                <w:iCs w:val="0"/>
                <w:color w:val="000000"/>
                <w:kern w:val="0"/>
                <w:sz w:val="32"/>
                <w:szCs w:val="32"/>
                <w:u w:val="none"/>
                <w:lang w:val="en-US" w:eastAsia="zh-CN" w:bidi="ar"/>
              </w:rPr>
              <w:t>序号</w:t>
            </w:r>
          </w:p>
        </w:tc>
        <w:tc>
          <w:tcPr>
            <w:tcW w:w="13000" w:type="dxa"/>
            <w:vAlign w:val="center"/>
          </w:tcPr>
          <w:p w14:paraId="59421692">
            <w:pPr>
              <w:keepNext w:val="0"/>
              <w:keepLines w:val="0"/>
              <w:widowControl/>
              <w:suppressLineNumbers w:val="0"/>
              <w:jc w:val="center"/>
              <w:textAlignment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宋体" w:hAnsi="宋体" w:eastAsia="宋体" w:cs="宋体"/>
                <w:b/>
                <w:bCs/>
                <w:i w:val="0"/>
                <w:iCs w:val="0"/>
                <w:color w:val="000000"/>
                <w:kern w:val="0"/>
                <w:sz w:val="32"/>
                <w:szCs w:val="32"/>
                <w:u w:val="none"/>
                <w:lang w:val="en-US" w:eastAsia="zh-CN" w:bidi="ar"/>
              </w:rPr>
              <w:t>项目名称</w:t>
            </w:r>
          </w:p>
        </w:tc>
      </w:tr>
    </w:tbl>
    <w:tbl>
      <w:tblPr>
        <w:tblStyle w:val="3"/>
        <w:tblW w:w="14171" w:type="dxa"/>
        <w:tblInd w:w="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67"/>
        <w:gridCol w:w="13004"/>
      </w:tblGrid>
      <w:tr w14:paraId="662B5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E4D43">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41092">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澜湄共生：冰球子共生育苗引领濒危药材产业变革</w:t>
            </w:r>
          </w:p>
        </w:tc>
      </w:tr>
      <w:tr w14:paraId="09BD7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E6601">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AEEA4">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绿碳新生-废弃生物资源跨领域制备功能型碳材料应用技术</w:t>
            </w:r>
          </w:p>
        </w:tc>
      </w:tr>
      <w:tr w14:paraId="4619B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54341">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00A2F">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“湄”好“核”谐-双蛋白协同发酵乳品创新研究</w:t>
            </w:r>
          </w:p>
        </w:tc>
      </w:tr>
      <w:tr w14:paraId="58973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AA83E">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64048">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源自本土猪种优势的绿色饲料添加剂—牛磺酸胆酸盐的开发与澜湄区域应用</w:t>
            </w:r>
          </w:p>
        </w:tc>
      </w:tr>
      <w:tr w14:paraId="66E8A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AEB0C">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AF973">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云斛生物：菌根真菌技术赋能澜湄区域石斛物种保护与仿野生栽培产业协同发展</w:t>
            </w:r>
          </w:p>
        </w:tc>
      </w:tr>
      <w:tr w14:paraId="1C19D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CECD7">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6</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379E4">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绣球花特色栽培基质研发</w:t>
            </w:r>
          </w:p>
        </w:tc>
      </w:tr>
      <w:tr w14:paraId="2B564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59738">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7</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CC0BF">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作物颜色性状精准高效测试评价技术创新与应用</w:t>
            </w:r>
          </w:p>
        </w:tc>
      </w:tr>
      <w:tr w14:paraId="7A39F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6E913">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8</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A1A5">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“一带一路”绿色冶炼：中老生物质冶金关键技术联合攻关与产业化推广</w:t>
            </w:r>
          </w:p>
        </w:tc>
      </w:tr>
      <w:tr w14:paraId="4E337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924C2">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9</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156E3">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激活内源软骨再生——新型无载体（Carrier-free）3D 间充质干细胞治疗骨关节炎的生物制剂开发与临床转化</w:t>
            </w:r>
          </w:p>
        </w:tc>
      </w:tr>
      <w:tr w14:paraId="014D0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6C926">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10</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B294A">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氰根终结者-“Z 型异质结光催化 + 3D 载体”双驱动实现铝电解大修渣氰根零排放</w:t>
            </w:r>
          </w:p>
        </w:tc>
      </w:tr>
      <w:tr w14:paraId="03DE0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C6BCE">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11</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BFCE3">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实景三维赋能绿色能源工程建设</w:t>
            </w:r>
          </w:p>
        </w:tc>
      </w:tr>
      <w:tr w14:paraId="15ED4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00908">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12</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724A9">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智锁万倍温室・护航电网青山——六氟化硫绿色作业与高质量管理运维</w:t>
            </w:r>
          </w:p>
        </w:tc>
      </w:tr>
      <w:tr w14:paraId="5B44E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B63D2">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13</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65AAB">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基于 AR 与 AI 融合的水文监测智能感知项目</w:t>
            </w:r>
          </w:p>
        </w:tc>
      </w:tr>
      <w:tr w14:paraId="72184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2FE2C">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14</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5E963">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缓燃抑薪——新型生物质阻燃无烟保温发泡材料的研发与应用</w:t>
            </w:r>
          </w:p>
        </w:tc>
      </w:tr>
      <w:tr w14:paraId="0BF5F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BBF94">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15</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87BCE">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百废聚菌-生物炭固定化复合微生物制剂</w:t>
            </w:r>
          </w:p>
        </w:tc>
      </w:tr>
      <w:tr w14:paraId="4DB4C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7B418">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16</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2355D">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高原山地复杂环境的无人驾驶关键技术研究与测试验证平台</w:t>
            </w:r>
          </w:p>
        </w:tc>
      </w:tr>
      <w:tr w14:paraId="29F3A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9922D">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17</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9B3BA">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猫屎咖啡绿色生物制造</w:t>
            </w:r>
          </w:p>
        </w:tc>
      </w:tr>
      <w:tr w14:paraId="1D4F2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2A8C9">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18</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D0350">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一种自动化甘蔗播种机</w:t>
            </w:r>
          </w:p>
        </w:tc>
      </w:tr>
      <w:tr w14:paraId="3C9B3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6A866">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19</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FBB4F">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PAIVU Sunscreen with Spent Coffee Grounds Oil Extract</w:t>
            </w:r>
          </w:p>
        </w:tc>
      </w:tr>
      <w:tr w14:paraId="24665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1E1BA">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20</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B3D81">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HandyDiag: Digital Screening for Parkinson’s Disease</w:t>
            </w:r>
          </w:p>
        </w:tc>
      </w:tr>
      <w:tr w14:paraId="0A176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5B557">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21</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C994A">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Microbial factory for GI-activated antimicrobial peptides (AMPs)</w:t>
            </w:r>
          </w:p>
        </w:tc>
      </w:tr>
      <w:tr w14:paraId="69C87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A4F4D">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22</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DB3B9">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BrainDiag: CT-Based AI System for Automated Mild TBI Detection</w:t>
            </w:r>
          </w:p>
        </w:tc>
      </w:tr>
      <w:tr w14:paraId="1E7BF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F4D4E">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23</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FC845">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 xml:space="preserve">The application of robotic grippers mounted on unmanned aerial vehicles to assist disaster victims </w:t>
            </w:r>
          </w:p>
        </w:tc>
      </w:tr>
      <w:tr w14:paraId="4B1DB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CC01F">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24</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BD2D6">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SAC-TECH (Smart Ageing Community: Intelligence Technology-Enabled Health, Home Care and Climate-Resilient for Elderly People in Lao PDR)</w:t>
            </w:r>
          </w:p>
        </w:tc>
      </w:tr>
      <w:tr w14:paraId="27B7A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DC66B">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25</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10D6D">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 caisson-dam-based multi-purpose coastal reservoir system for freshwater storage and storm-surge protection in the Mekong Delta Estuaries</w:t>
            </w:r>
          </w:p>
        </w:tc>
      </w:tr>
      <w:tr w14:paraId="07D55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AD0CA">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26</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2028F">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MediFind - An application for supporting safe antibiotics usage</w:t>
            </w:r>
          </w:p>
        </w:tc>
      </w:tr>
      <w:tr w14:paraId="5C61C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7E498">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27</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50437">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Valorization of Rice Bran and By-Products for Edible Biodegradable Packaging Towards a Green Planet</w:t>
            </w:r>
          </w:p>
        </w:tc>
      </w:tr>
      <w:tr w14:paraId="00DDC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0"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3BB2F">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28</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2E51D">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Strokify（AI-driven health app）</w:t>
            </w:r>
          </w:p>
        </w:tc>
      </w:tr>
      <w:tr w14:paraId="3812E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1AEEE">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29</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BB297">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Indigenous probiotic feed for sustainable Mekong poultry farming: A bio-innovative solution to antibiotic-free production</w:t>
            </w:r>
          </w:p>
        </w:tc>
      </w:tr>
      <w:tr w14:paraId="33E1C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4" w:hRule="atLeast"/>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EC39F">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30</w:t>
            </w:r>
          </w:p>
        </w:tc>
        <w:tc>
          <w:tcPr>
            <w:tcW w:w="1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AA21C">
            <w:pPr>
              <w:jc w:val="cente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The Thar Htet Swan-Black Ginger Pain Relief Spray Project</w:t>
            </w:r>
          </w:p>
        </w:tc>
      </w:tr>
    </w:tbl>
    <w:p w14:paraId="7BABE89A">
      <w:pPr>
        <w:rPr>
          <w:rFonts w:hint="default" w:eastAsiaTheme="minorEastAsia"/>
          <w:lang w:val="en-US" w:eastAsia="zh-CN"/>
        </w:rPr>
      </w:pPr>
    </w:p>
    <w:p w14:paraId="4171437D">
      <w:pPr>
        <w:rPr>
          <w:rFonts w:hint="default" w:eastAsiaTheme="minorEastAsia"/>
          <w:lang w:val="en-US" w:eastAsia="zh-CN"/>
        </w:rPr>
      </w:pPr>
    </w:p>
    <w:p w14:paraId="578D8D4D">
      <w:pPr>
        <w:pStyle w:val="2"/>
        <w:keepNext/>
        <w:keepLines/>
        <w:widowControl w:val="0"/>
        <w:spacing w:before="0" w:beforeAutospacing="0" w:after="0" w:afterAutospacing="0" w:line="560" w:lineRule="exact"/>
        <w:jc w:val="center"/>
        <w:rPr>
          <w:rFonts w:hint="eastAsia" w:ascii="Times New Roman" w:hAnsi="Times New Roman" w:eastAsia="方正黑体_GBK" w:cs="Times New Roman"/>
          <w:b w:val="0"/>
          <w:bCs/>
          <w:kern w:val="44"/>
          <w:sz w:val="36"/>
          <w:szCs w:val="36"/>
          <w:lang w:val="en-US" w:eastAsia="zh-CN"/>
        </w:rPr>
      </w:pPr>
      <w:r>
        <w:rPr>
          <w:rFonts w:hint="eastAsia" w:ascii="Times New Roman" w:hAnsi="Times New Roman" w:eastAsia="方正黑体_GBK" w:cs="Times New Roman"/>
          <w:b w:val="0"/>
          <w:bCs/>
          <w:kern w:val="44"/>
          <w:sz w:val="36"/>
          <w:szCs w:val="36"/>
          <w:lang w:val="en-US" w:eastAsia="zh-CN"/>
        </w:rPr>
        <w:tab/>
      </w:r>
      <w:r>
        <w:rPr>
          <w:rFonts w:hint="eastAsia" w:ascii="Times New Roman" w:hAnsi="Times New Roman" w:eastAsia="方正黑体_GBK" w:cs="Times New Roman"/>
          <w:b w:val="0"/>
          <w:bCs/>
          <w:kern w:val="44"/>
          <w:sz w:val="36"/>
          <w:szCs w:val="36"/>
          <w:lang w:val="en-US" w:eastAsia="zh-CN"/>
        </w:rPr>
        <w:t>企业组</w:t>
      </w:r>
      <w:r>
        <w:rPr>
          <w:rFonts w:hint="eastAsia" w:ascii="Times New Roman" w:hAnsi="Times New Roman" w:eastAsia="方正黑体_GBK" w:cs="Times New Roman"/>
          <w:b w:val="0"/>
          <w:bCs/>
          <w:kern w:val="44"/>
          <w:sz w:val="36"/>
          <w:szCs w:val="36"/>
          <w:lang w:val="en-US" w:eastAsia="zh-CN" w:bidi="ar"/>
        </w:rPr>
        <w:t>晋级决赛名单</w:t>
      </w:r>
    </w:p>
    <w:p w14:paraId="24148BDB">
      <w:pPr>
        <w:keepNext w:val="0"/>
        <w:keepLines w:val="0"/>
        <w:widowControl/>
        <w:suppressLineNumbers w:val="0"/>
        <w:jc w:val="center"/>
        <w:rPr>
          <w:rFonts w:hint="default"/>
          <w:lang w:val="en-US" w:eastAsia="zh-CN"/>
        </w:rPr>
      </w:pPr>
      <w:r>
        <w:rPr>
          <w:rStyle w:val="6"/>
          <w:rFonts w:ascii="Helvetica Neue" w:hAnsi="Helvetica Neue" w:eastAsia="Helvetica Neue" w:cs="Helvetica Neue"/>
          <w:b/>
          <w:bCs/>
          <w:i w:val="0"/>
          <w:iCs w:val="0"/>
          <w:caps w:val="0"/>
          <w:color w:val="0F1115"/>
          <w:spacing w:val="0"/>
          <w:kern w:val="0"/>
          <w:sz w:val="32"/>
          <w:szCs w:val="32"/>
          <w:shd w:val="clear" w:fill="FFFFFF"/>
          <w:lang w:val="en-US" w:eastAsia="zh-CN" w:bidi="ar"/>
        </w:rPr>
        <w:t>(</w:t>
      </w:r>
      <w:r>
        <w:rPr>
          <w:rStyle w:val="6"/>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Enterprise</w:t>
      </w:r>
      <w:r>
        <w:rPr>
          <w:rStyle w:val="6"/>
          <w:rFonts w:ascii="Helvetica Neue" w:hAnsi="Helvetica Neue" w:eastAsia="Helvetica Neue" w:cs="Helvetica Neue"/>
          <w:b/>
          <w:bCs/>
          <w:i w:val="0"/>
          <w:iCs w:val="0"/>
          <w:caps w:val="0"/>
          <w:color w:val="0F1115"/>
          <w:spacing w:val="0"/>
          <w:kern w:val="0"/>
          <w:sz w:val="32"/>
          <w:szCs w:val="32"/>
          <w:shd w:val="clear" w:fill="FFFFFF"/>
          <w:lang w:val="en-US" w:eastAsia="zh-CN" w:bidi="ar"/>
        </w:rPr>
        <w:t xml:space="preserve"> Group: </w:t>
      </w:r>
      <w:r>
        <w:rPr>
          <w:rStyle w:val="6"/>
          <w:rFonts w:hint="eastAsia" w:ascii="Helvetica Neue" w:hAnsi="Helvetica Neue" w:eastAsia="Helvetica Neue" w:cs="Helvetica Neue"/>
          <w:b/>
          <w:bCs/>
          <w:i w:val="0"/>
          <w:iCs w:val="0"/>
          <w:caps w:val="0"/>
          <w:color w:val="0F1115"/>
          <w:spacing w:val="0"/>
          <w:kern w:val="0"/>
          <w:sz w:val="32"/>
          <w:szCs w:val="32"/>
          <w:shd w:val="clear" w:fill="FFFFFF"/>
          <w:lang w:val="en-US" w:eastAsia="zh-CN" w:bidi="ar"/>
        </w:rPr>
        <w:t>Finalists</w:t>
      </w:r>
      <w:r>
        <w:rPr>
          <w:rStyle w:val="6"/>
          <w:rFonts w:ascii="Helvetica Neue" w:hAnsi="Helvetica Neue" w:eastAsia="Helvetica Neue" w:cs="Helvetica Neue"/>
          <w:b/>
          <w:bCs/>
          <w:i w:val="0"/>
          <w:iCs w:val="0"/>
          <w:caps w:val="0"/>
          <w:color w:val="0F1115"/>
          <w:spacing w:val="0"/>
          <w:kern w:val="0"/>
          <w:sz w:val="32"/>
          <w:szCs w:val="32"/>
          <w:shd w:val="clear" w:fill="FFFFFF"/>
          <w:lang w:val="en-US" w:eastAsia="zh-CN" w:bidi="ar"/>
        </w:rPr>
        <w:t>)</w:t>
      </w:r>
    </w:p>
    <w:p w14:paraId="1F52FF31">
      <w:pPr>
        <w:rPr>
          <w:rFonts w:hint="default" w:eastAsiaTheme="minorEastAsia"/>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9"/>
        <w:gridCol w:w="13126"/>
      </w:tblGrid>
      <w:tr w14:paraId="1FC39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9" w:hRule="atLeast"/>
        </w:trPr>
        <w:tc>
          <w:tcPr>
            <w:tcW w:w="899" w:type="dxa"/>
            <w:vAlign w:val="center"/>
          </w:tcPr>
          <w:p w14:paraId="4CD3A38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w:t>
            </w:r>
          </w:p>
        </w:tc>
        <w:tc>
          <w:tcPr>
            <w:tcW w:w="13126" w:type="dxa"/>
            <w:vAlign w:val="center"/>
          </w:tcPr>
          <w:p w14:paraId="3A2574D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智承芳草·惠泽澜湄——基于跳蚤草的民族医药健康产品研发与产业化</w:t>
            </w:r>
          </w:p>
        </w:tc>
      </w:tr>
      <w:tr w14:paraId="74562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7DF125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w:t>
            </w:r>
          </w:p>
        </w:tc>
        <w:tc>
          <w:tcPr>
            <w:tcW w:w="13126" w:type="dxa"/>
            <w:vAlign w:val="center"/>
          </w:tcPr>
          <w:p w14:paraId="527D57D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GreenLink Thailand：面向泰国市场的可持续生物材料创新计划</w:t>
            </w:r>
          </w:p>
        </w:tc>
      </w:tr>
      <w:tr w14:paraId="19008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59F6CD5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w:t>
            </w:r>
          </w:p>
        </w:tc>
        <w:tc>
          <w:tcPr>
            <w:tcW w:w="13126" w:type="dxa"/>
            <w:vAlign w:val="center"/>
          </w:tcPr>
          <w:p w14:paraId="0F77962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澜湄国家跨境语言AI大模型</w:t>
            </w:r>
          </w:p>
        </w:tc>
      </w:tr>
      <w:tr w14:paraId="412C7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9FF608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4</w:t>
            </w:r>
          </w:p>
        </w:tc>
        <w:tc>
          <w:tcPr>
            <w:tcW w:w="13126" w:type="dxa"/>
            <w:vAlign w:val="center"/>
          </w:tcPr>
          <w:p w14:paraId="1000BDB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基于云南—东南亚合作的新一代医用级材料整合制备技术研究</w:t>
            </w:r>
          </w:p>
        </w:tc>
      </w:tr>
      <w:tr w14:paraId="77760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EE9A00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5</w:t>
            </w:r>
          </w:p>
        </w:tc>
        <w:tc>
          <w:tcPr>
            <w:tcW w:w="13126" w:type="dxa"/>
            <w:vAlign w:val="center"/>
          </w:tcPr>
          <w:p w14:paraId="0881999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果润匠心</w:t>
            </w:r>
          </w:p>
        </w:tc>
      </w:tr>
      <w:tr w14:paraId="1124C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98F454B">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6</w:t>
            </w:r>
          </w:p>
        </w:tc>
        <w:tc>
          <w:tcPr>
            <w:tcW w:w="13126" w:type="dxa"/>
            <w:vAlign w:val="center"/>
          </w:tcPr>
          <w:p w14:paraId="7D2045CC">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沙门氏-志贺氏菌双联可视化快速核酸检测系统的研发生产</w:t>
            </w:r>
          </w:p>
        </w:tc>
      </w:tr>
      <w:tr w14:paraId="0663B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61CA6D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7</w:t>
            </w:r>
          </w:p>
        </w:tc>
        <w:tc>
          <w:tcPr>
            <w:tcW w:w="13126" w:type="dxa"/>
            <w:vAlign w:val="center"/>
          </w:tcPr>
          <w:p w14:paraId="5D0979E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特殊儿童全周期康教服务生态系统</w:t>
            </w:r>
          </w:p>
        </w:tc>
      </w:tr>
      <w:tr w14:paraId="248A8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608AC4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8</w:t>
            </w:r>
          </w:p>
        </w:tc>
        <w:tc>
          <w:tcPr>
            <w:tcW w:w="13126" w:type="dxa"/>
            <w:vAlign w:val="center"/>
          </w:tcPr>
          <w:p w14:paraId="5A734237">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中越生物合作--高纯度鲎血蛋白提取的跨境技术创新和商业推广</w:t>
            </w:r>
          </w:p>
        </w:tc>
      </w:tr>
      <w:tr w14:paraId="73346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8D0CEE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9</w:t>
            </w:r>
          </w:p>
        </w:tc>
        <w:tc>
          <w:tcPr>
            <w:tcW w:w="13126" w:type="dxa"/>
            <w:vAlign w:val="center"/>
          </w:tcPr>
          <w:p w14:paraId="478AE2F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高原特色智慧草·鱼种养循环系统建设及其产业化</w:t>
            </w:r>
          </w:p>
        </w:tc>
      </w:tr>
      <w:tr w14:paraId="47610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69C841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10</w:t>
            </w:r>
          </w:p>
        </w:tc>
        <w:tc>
          <w:tcPr>
            <w:tcW w:w="13126" w:type="dxa"/>
            <w:vAlign w:val="center"/>
          </w:tcPr>
          <w:p w14:paraId="4AE3E2C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 xml:space="preserve">集“工程改造-智慧种植-全球供应”的农业全产业链产品解决方案 </w:t>
            </w:r>
          </w:p>
        </w:tc>
      </w:tr>
      <w:tr w14:paraId="22963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37D4124C">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11</w:t>
            </w:r>
          </w:p>
        </w:tc>
        <w:tc>
          <w:tcPr>
            <w:tcW w:w="13126" w:type="dxa"/>
            <w:vAlign w:val="center"/>
          </w:tcPr>
          <w:p w14:paraId="452A40AE">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高压电网赋能的无人机智慧充电基站及电网安全联控系统</w:t>
            </w:r>
          </w:p>
        </w:tc>
      </w:tr>
      <w:tr w14:paraId="613A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3908255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12</w:t>
            </w:r>
          </w:p>
        </w:tc>
        <w:tc>
          <w:tcPr>
            <w:tcW w:w="13126" w:type="dxa"/>
            <w:vAlign w:val="center"/>
          </w:tcPr>
          <w:p w14:paraId="52716C4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超临界提纯技术应用 植物提取物“黄金矿场”项目</w:t>
            </w:r>
          </w:p>
        </w:tc>
      </w:tr>
      <w:tr w14:paraId="4F603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A62AA8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13</w:t>
            </w:r>
          </w:p>
        </w:tc>
        <w:tc>
          <w:tcPr>
            <w:tcW w:w="13126" w:type="dxa"/>
            <w:vAlign w:val="center"/>
          </w:tcPr>
          <w:p w14:paraId="634C3A8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AI赋能下的东南亚咖啡可持续种植模式创新</w:t>
            </w:r>
          </w:p>
        </w:tc>
      </w:tr>
      <w:tr w14:paraId="6AE66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A7AB27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14</w:t>
            </w:r>
          </w:p>
        </w:tc>
        <w:tc>
          <w:tcPr>
            <w:tcW w:w="13126" w:type="dxa"/>
            <w:vAlign w:val="center"/>
          </w:tcPr>
          <w:p w14:paraId="121518D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澜湄流域药用植物基因材料库、基因显微比对鉴定中心</w:t>
            </w:r>
          </w:p>
        </w:tc>
      </w:tr>
      <w:tr w14:paraId="37241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B62FF9B">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15</w:t>
            </w:r>
          </w:p>
        </w:tc>
        <w:tc>
          <w:tcPr>
            <w:tcW w:w="13126" w:type="dxa"/>
            <w:vAlign w:val="center"/>
          </w:tcPr>
          <w:p w14:paraId="5E09CFE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创新工艺下的辣木发酵液项目</w:t>
            </w:r>
          </w:p>
        </w:tc>
      </w:tr>
      <w:tr w14:paraId="21C4B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3A11658">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16</w:t>
            </w:r>
          </w:p>
        </w:tc>
        <w:tc>
          <w:tcPr>
            <w:tcW w:w="13126" w:type="dxa"/>
            <w:vAlign w:val="center"/>
          </w:tcPr>
          <w:p w14:paraId="11045C8E">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氢燃料电池航空器研发及产业化项目</w:t>
            </w:r>
          </w:p>
        </w:tc>
      </w:tr>
      <w:tr w14:paraId="2F14C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583A9AC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17</w:t>
            </w:r>
          </w:p>
        </w:tc>
        <w:tc>
          <w:tcPr>
            <w:tcW w:w="13126" w:type="dxa"/>
            <w:vAlign w:val="center"/>
          </w:tcPr>
          <w:p w14:paraId="0437039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“秸”尽所能-秸秆快腐还田关键技术及应用</w:t>
            </w:r>
          </w:p>
        </w:tc>
      </w:tr>
      <w:tr w14:paraId="69020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62E98CE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18</w:t>
            </w:r>
          </w:p>
        </w:tc>
        <w:tc>
          <w:tcPr>
            <w:tcW w:w="13126" w:type="dxa"/>
            <w:vAlign w:val="center"/>
          </w:tcPr>
          <w:p w14:paraId="07A744F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智慧停车-自动驾驶巡检车</w:t>
            </w:r>
          </w:p>
        </w:tc>
      </w:tr>
      <w:tr w14:paraId="1C115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6FC4597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19</w:t>
            </w:r>
          </w:p>
        </w:tc>
        <w:tc>
          <w:tcPr>
            <w:tcW w:w="13126" w:type="dxa"/>
            <w:vAlign w:val="center"/>
          </w:tcPr>
          <w:p w14:paraId="4753CE67">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从根到果的创新—富宁八角“育-接-香”的科技路径</w:t>
            </w:r>
          </w:p>
        </w:tc>
      </w:tr>
      <w:tr w14:paraId="5F0C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771D9AD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20</w:t>
            </w:r>
          </w:p>
        </w:tc>
        <w:tc>
          <w:tcPr>
            <w:tcW w:w="13126" w:type="dxa"/>
            <w:vAlign w:val="center"/>
          </w:tcPr>
          <w:p w14:paraId="1948F4DB">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Mekong AI Governance Hub (MAGH)</w:t>
            </w:r>
          </w:p>
        </w:tc>
      </w:tr>
      <w:tr w14:paraId="7C439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C31ECC2">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21</w:t>
            </w:r>
          </w:p>
        </w:tc>
        <w:tc>
          <w:tcPr>
            <w:tcW w:w="13126" w:type="dxa"/>
            <w:vAlign w:val="center"/>
          </w:tcPr>
          <w:p w14:paraId="11CA7DF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AThenaAI（Digital Foundation for Precision-Preventive Healthcare）</w:t>
            </w:r>
          </w:p>
        </w:tc>
      </w:tr>
      <w:tr w14:paraId="69F77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83CE83D">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22</w:t>
            </w:r>
          </w:p>
        </w:tc>
        <w:tc>
          <w:tcPr>
            <w:tcW w:w="13126" w:type="dxa"/>
            <w:vAlign w:val="center"/>
          </w:tcPr>
          <w:p w14:paraId="07CCDD0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PhaJay（Payment Facilitator）</w:t>
            </w:r>
          </w:p>
        </w:tc>
      </w:tr>
      <w:tr w14:paraId="707C1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08AFF54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23</w:t>
            </w:r>
          </w:p>
        </w:tc>
        <w:tc>
          <w:tcPr>
            <w:tcW w:w="13126" w:type="dxa"/>
            <w:vAlign w:val="center"/>
          </w:tcPr>
          <w:p w14:paraId="7461FA93">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Agriadaptive: Smart Climate Resilient Agriculture Platform</w:t>
            </w:r>
          </w:p>
        </w:tc>
      </w:tr>
      <w:tr w14:paraId="20F45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3116979">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24</w:t>
            </w:r>
          </w:p>
        </w:tc>
        <w:tc>
          <w:tcPr>
            <w:tcW w:w="13126" w:type="dxa"/>
            <w:vAlign w:val="center"/>
          </w:tcPr>
          <w:p w14:paraId="55EA724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Strengthening Post-Harvest Processing and Quality Enhancement for Winter Coffee Enterprise</w:t>
            </w:r>
          </w:p>
        </w:tc>
      </w:tr>
      <w:tr w14:paraId="10C0E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B7E689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25</w:t>
            </w:r>
          </w:p>
        </w:tc>
        <w:tc>
          <w:tcPr>
            <w:tcW w:w="13126" w:type="dxa"/>
            <w:vAlign w:val="center"/>
          </w:tcPr>
          <w:p w14:paraId="0F9777E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Myanmar's Traditional Herbal Tamarind Products</w:t>
            </w:r>
          </w:p>
        </w:tc>
      </w:tr>
      <w:tr w14:paraId="4D98A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4A31586">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26</w:t>
            </w:r>
          </w:p>
        </w:tc>
        <w:tc>
          <w:tcPr>
            <w:tcW w:w="13126" w:type="dxa"/>
            <w:vAlign w:val="center"/>
          </w:tcPr>
          <w:p w14:paraId="15590234">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Co-Engineered</w:t>
            </w:r>
          </w:p>
        </w:tc>
      </w:tr>
      <w:tr w14:paraId="0C08A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4AD32C30">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27</w:t>
            </w:r>
          </w:p>
        </w:tc>
        <w:tc>
          <w:tcPr>
            <w:tcW w:w="13126" w:type="dxa"/>
            <w:vAlign w:val="center"/>
          </w:tcPr>
          <w:p w14:paraId="24714EF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Mekong Smiles</w:t>
            </w:r>
          </w:p>
        </w:tc>
      </w:tr>
      <w:tr w14:paraId="0AA12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141A5BEA">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28</w:t>
            </w:r>
          </w:p>
        </w:tc>
        <w:tc>
          <w:tcPr>
            <w:tcW w:w="13126" w:type="dxa"/>
            <w:vAlign w:val="center"/>
          </w:tcPr>
          <w:p w14:paraId="394F4DE1">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AI-Powered Receipt Automation</w:t>
            </w:r>
          </w:p>
        </w:tc>
      </w:tr>
      <w:tr w14:paraId="5029D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F82E80B">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29</w:t>
            </w:r>
          </w:p>
        </w:tc>
        <w:tc>
          <w:tcPr>
            <w:tcW w:w="13126" w:type="dxa"/>
            <w:vAlign w:val="center"/>
          </w:tcPr>
          <w:p w14:paraId="2D6AA8CF">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DMK Bird's Nest Platform</w:t>
            </w:r>
          </w:p>
        </w:tc>
      </w:tr>
      <w:tr w14:paraId="6A4D6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14:paraId="2B15A5CC">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30</w:t>
            </w:r>
          </w:p>
        </w:tc>
        <w:tc>
          <w:tcPr>
            <w:tcW w:w="13126" w:type="dxa"/>
            <w:vAlign w:val="center"/>
          </w:tcPr>
          <w:p w14:paraId="434CC707">
            <w:pPr>
              <w:jc w:val="center"/>
              <w:rPr>
                <w:rFonts w:hint="default"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pPr>
            <w:r>
              <w:rPr>
                <w:rFonts w:hint="eastAsia" w:ascii="Times New Roman" w:hAnsi="Times New Roman" w:eastAsia="方正仿宋_GBK" w:cs="Times New Roman"/>
                <w:b w:val="0"/>
                <w:bCs/>
                <w:color w:val="000000" w:themeColor="text1"/>
                <w:kern w:val="2"/>
                <w:sz w:val="32"/>
                <w:szCs w:val="24"/>
                <w:lang w:val="en-US" w:eastAsia="zh-CN" w:bidi="ar-SA"/>
                <w14:textFill>
                  <w14:solidFill>
                    <w14:schemeClr w14:val="tx1"/>
                  </w14:solidFill>
                </w14:textFill>
              </w:rPr>
              <w:t>Arr Har Ya Instant Fried Rice</w:t>
            </w:r>
          </w:p>
        </w:tc>
      </w:tr>
    </w:tbl>
    <w:p w14:paraId="7FCD6AE1">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Calibri Light">
    <w:altName w:val="Helvetica Neue"/>
    <w:panose1 w:val="020F0302020204030204"/>
    <w:charset w:val="00"/>
    <w:family w:val="swiss"/>
    <w:pitch w:val="default"/>
    <w:sig w:usb0="00000000" w:usb1="00000000" w:usb2="00000009" w:usb3="00000000" w:csb0="200001FF" w:csb1="00000000"/>
  </w:font>
  <w:font w:name="方正黑体_GBK">
    <w:panose1 w:val="02010600010101010101"/>
    <w:charset w:val="86"/>
    <w:family w:val="auto"/>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苹方-简">
    <w:panose1 w:val="020B0400000000000000"/>
    <w:charset w:val="86"/>
    <w:family w:val="auto"/>
    <w:pitch w:val="default"/>
    <w:sig w:usb0="A00002FF" w:usb1="7ACFFDFB" w:usb2="00000017"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8E92753"/>
    <w:rsid w:val="7DFF4ABA"/>
    <w:rsid w:val="B7F78C3F"/>
    <w:rsid w:val="C7CFCB82"/>
    <w:rsid w:val="F8E927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paragraph" w:customStyle="1" w:styleId="7">
    <w:name w:val="Heading4"/>
    <w:basedOn w:val="1"/>
    <w:next w:val="1"/>
    <w:qFormat/>
    <w:uiPriority w:val="0"/>
    <w:pPr>
      <w:keepNext/>
      <w:keepLines/>
      <w:spacing w:before="280" w:after="290" w:line="376" w:lineRule="auto"/>
      <w:textAlignment w:val="baseline"/>
    </w:pPr>
    <w:rPr>
      <w:rFonts w:ascii="Calibri Light" w:hAnsi="Calibri Light" w:eastAsia="宋体" w:cs="Times New Roman"/>
      <w:b/>
      <w:bCs/>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2026-02-03T09:06:00Z</dcterms:created>
  <dc:creator>WPS_1496798203</dc:creator>
  <cp:lastModifiedBy>WPS_1496798203</cp:lastModifiedBy>
  <dcterms:modified xsi:type="dcterms:W3CDTF">2026-02-02T17:39:31Z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0FCF49B19DDCB3B5126980696AE57F8B_41</vt:lpwstr>
  </property>
</Properties>
</file>